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5F" w:rsidRPr="003E5A5E" w:rsidRDefault="009D1F54" w:rsidP="00F7355F">
      <w:pPr>
        <w:jc w:val="center"/>
        <w:rPr>
          <w:b/>
          <w:sz w:val="36"/>
        </w:rPr>
      </w:pPr>
      <w:r w:rsidRPr="003E5A5E">
        <w:rPr>
          <w:b/>
          <w:sz w:val="36"/>
        </w:rPr>
        <w:t>APH</w:t>
      </w:r>
      <w:r w:rsidR="00292220">
        <w:rPr>
          <w:b/>
          <w:sz w:val="36"/>
        </w:rPr>
        <w:t>G: Unit 2</w:t>
      </w:r>
      <w:r w:rsidR="00F7355F" w:rsidRPr="003E5A5E">
        <w:rPr>
          <w:b/>
          <w:sz w:val="36"/>
        </w:rPr>
        <w:t xml:space="preserve"> Test Study Guide</w:t>
      </w:r>
    </w:p>
    <w:p w:rsidR="00292220" w:rsidRPr="002202AD" w:rsidRDefault="00F7355F" w:rsidP="003E5A5E">
      <w:pPr>
        <w:rPr>
          <w:sz w:val="26"/>
          <w:szCs w:val="26"/>
        </w:rPr>
      </w:pPr>
      <w:r w:rsidRPr="002202AD">
        <w:rPr>
          <w:sz w:val="26"/>
          <w:szCs w:val="26"/>
        </w:rPr>
        <w:t xml:space="preserve">Know </w:t>
      </w:r>
      <w:r w:rsidR="004724E6" w:rsidRPr="002202AD">
        <w:rPr>
          <w:b/>
          <w:sz w:val="26"/>
          <w:szCs w:val="26"/>
        </w:rPr>
        <w:t xml:space="preserve">all terms and concepts </w:t>
      </w:r>
      <w:r w:rsidR="00292220" w:rsidRPr="002202AD">
        <w:rPr>
          <w:sz w:val="26"/>
          <w:szCs w:val="26"/>
        </w:rPr>
        <w:t>from your Unit 2</w:t>
      </w:r>
      <w:r w:rsidRPr="002202AD">
        <w:rPr>
          <w:sz w:val="26"/>
          <w:szCs w:val="26"/>
        </w:rPr>
        <w:t xml:space="preserve"> </w:t>
      </w:r>
      <w:r w:rsidR="006B0699" w:rsidRPr="002202AD">
        <w:rPr>
          <w:sz w:val="26"/>
          <w:szCs w:val="26"/>
        </w:rPr>
        <w:t>vocabulary</w:t>
      </w:r>
      <w:r w:rsidR="002202AD" w:rsidRPr="002202AD">
        <w:rPr>
          <w:sz w:val="26"/>
          <w:szCs w:val="26"/>
        </w:rPr>
        <w:t xml:space="preserve"> – </w:t>
      </w:r>
      <w:r w:rsidRPr="002202AD">
        <w:rPr>
          <w:sz w:val="26"/>
          <w:szCs w:val="26"/>
        </w:rPr>
        <w:t xml:space="preserve">your completed definitions </w:t>
      </w:r>
      <w:r w:rsidR="00055DA1" w:rsidRPr="002202AD">
        <w:rPr>
          <w:sz w:val="26"/>
          <w:szCs w:val="26"/>
        </w:rPr>
        <w:t>with examples/applications</w:t>
      </w:r>
      <w:r w:rsidRPr="002202AD">
        <w:rPr>
          <w:sz w:val="26"/>
          <w:szCs w:val="26"/>
        </w:rPr>
        <w:t xml:space="preserve"> are due </w:t>
      </w:r>
      <w:r w:rsidR="00292220" w:rsidRPr="002202AD">
        <w:rPr>
          <w:sz w:val="26"/>
          <w:szCs w:val="26"/>
        </w:rPr>
        <w:t>by 8:30am</w:t>
      </w:r>
      <w:r w:rsidRPr="002202AD">
        <w:rPr>
          <w:sz w:val="26"/>
          <w:szCs w:val="26"/>
        </w:rPr>
        <w:t xml:space="preserve"> on the test day.</w:t>
      </w:r>
      <w:r w:rsidR="004724E6" w:rsidRPr="002202AD">
        <w:rPr>
          <w:sz w:val="26"/>
          <w:szCs w:val="26"/>
        </w:rPr>
        <w:t xml:space="preserve"> </w:t>
      </w:r>
    </w:p>
    <w:p w:rsidR="000F7472" w:rsidRPr="002202AD" w:rsidRDefault="000F7472" w:rsidP="003E5A5E">
      <w:pPr>
        <w:rPr>
          <w:sz w:val="26"/>
          <w:szCs w:val="26"/>
        </w:rPr>
      </w:pPr>
      <w:r w:rsidRPr="002202AD">
        <w:rPr>
          <w:sz w:val="26"/>
          <w:szCs w:val="26"/>
        </w:rPr>
        <w:t>Strategies for studying:</w:t>
      </w:r>
    </w:p>
    <w:p w:rsidR="002202AD" w:rsidRPr="002202AD" w:rsidRDefault="002202AD" w:rsidP="00E56E6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202AD">
        <w:rPr>
          <w:sz w:val="26"/>
          <w:szCs w:val="26"/>
        </w:rPr>
        <w:t xml:space="preserve">Review class notes while watching the topic videos on AP Classroom – I recommend adding to your notes as you review – active studying (writing – doing something instead of “just watching” is a more effective way to review for most people). </w:t>
      </w:r>
    </w:p>
    <w:p w:rsidR="000F7472" w:rsidRPr="002202AD" w:rsidRDefault="00292220" w:rsidP="00E56E6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202AD">
        <w:rPr>
          <w:sz w:val="26"/>
          <w:szCs w:val="26"/>
        </w:rPr>
        <w:t>Work through Unit 2</w:t>
      </w:r>
      <w:r w:rsidR="000F7472" w:rsidRPr="002202AD">
        <w:rPr>
          <w:sz w:val="26"/>
          <w:szCs w:val="26"/>
        </w:rPr>
        <w:t xml:space="preserve"> in a test prep book (like Barron’s or Princeton Review) if you have one.</w:t>
      </w:r>
    </w:p>
    <w:p w:rsidR="000F7472" w:rsidRPr="002202AD" w:rsidRDefault="000F7472" w:rsidP="000F747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202AD">
        <w:rPr>
          <w:sz w:val="26"/>
          <w:szCs w:val="26"/>
        </w:rPr>
        <w:t>Rev</w:t>
      </w:r>
      <w:r w:rsidR="00292220" w:rsidRPr="002202AD">
        <w:rPr>
          <w:sz w:val="26"/>
          <w:szCs w:val="26"/>
        </w:rPr>
        <w:t>iew the questions in your Unit 2</w:t>
      </w:r>
      <w:r w:rsidRPr="002202AD">
        <w:rPr>
          <w:sz w:val="26"/>
          <w:szCs w:val="26"/>
        </w:rPr>
        <w:t xml:space="preserve"> Progress Check</w:t>
      </w:r>
      <w:r w:rsidR="002202AD">
        <w:rPr>
          <w:sz w:val="26"/>
          <w:szCs w:val="26"/>
        </w:rPr>
        <w:t xml:space="preserve"> and Topic Questions</w:t>
      </w:r>
      <w:bookmarkStart w:id="0" w:name="_GoBack"/>
      <w:bookmarkEnd w:id="0"/>
      <w:r w:rsidRPr="002202AD">
        <w:rPr>
          <w:sz w:val="26"/>
          <w:szCs w:val="26"/>
        </w:rPr>
        <w:t xml:space="preserve"> on AP Classroom (in addition to another strategy from above – I wouldn’t rely just on this alone)</w:t>
      </w:r>
    </w:p>
    <w:p w:rsidR="000F7472" w:rsidRPr="002202AD" w:rsidRDefault="00292220" w:rsidP="000F747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202AD">
        <w:rPr>
          <w:sz w:val="26"/>
          <w:szCs w:val="26"/>
        </w:rPr>
        <w:t>Review Unit 2</w:t>
      </w:r>
      <w:r w:rsidR="000F7472" w:rsidRPr="002202AD">
        <w:rPr>
          <w:sz w:val="26"/>
          <w:szCs w:val="26"/>
        </w:rPr>
        <w:t xml:space="preserve"> in the Ethel Wood Study Guide (in addition to another strategy from above – I wouldn’t rely just on this alone)</w:t>
      </w:r>
    </w:p>
    <w:p w:rsidR="002202AD" w:rsidRDefault="002202AD" w:rsidP="000F7472">
      <w:pPr>
        <w:ind w:left="360"/>
        <w:rPr>
          <w:sz w:val="26"/>
          <w:szCs w:val="26"/>
        </w:rPr>
      </w:pPr>
    </w:p>
    <w:p w:rsidR="000F7472" w:rsidRPr="002202AD" w:rsidRDefault="000F7472" w:rsidP="000F7472">
      <w:pPr>
        <w:ind w:left="360"/>
        <w:rPr>
          <w:sz w:val="26"/>
          <w:szCs w:val="26"/>
        </w:rPr>
      </w:pPr>
      <w:r w:rsidRPr="002202AD">
        <w:rPr>
          <w:sz w:val="26"/>
          <w:szCs w:val="26"/>
        </w:rPr>
        <w:t xml:space="preserve">Here is the list of </w:t>
      </w:r>
      <w:r w:rsidR="00292220" w:rsidRPr="002202AD">
        <w:rPr>
          <w:sz w:val="26"/>
          <w:szCs w:val="26"/>
        </w:rPr>
        <w:t>the topics we covered in unit 2</w:t>
      </w:r>
      <w:r w:rsidRPr="002202AD">
        <w:rPr>
          <w:sz w:val="26"/>
          <w:szCs w:val="26"/>
        </w:rPr>
        <w:t xml:space="preserve">. Focus your time on the </w:t>
      </w:r>
      <w:r w:rsidR="003E5A5E" w:rsidRPr="002202AD">
        <w:rPr>
          <w:sz w:val="26"/>
          <w:szCs w:val="26"/>
        </w:rPr>
        <w:t xml:space="preserve">studying the content for the </w:t>
      </w:r>
      <w:r w:rsidRPr="002202AD">
        <w:rPr>
          <w:sz w:val="26"/>
          <w:szCs w:val="26"/>
        </w:rPr>
        <w:t>ones you struggled with the most during the unit.</w:t>
      </w:r>
    </w:p>
    <w:p w:rsidR="002202AD" w:rsidRPr="002202AD" w:rsidRDefault="002202AD" w:rsidP="002202AD">
      <w:pPr>
        <w:ind w:left="360"/>
        <w:rPr>
          <w:sz w:val="24"/>
          <w:szCs w:val="25"/>
        </w:rPr>
      </w:pPr>
      <w:r w:rsidRPr="002202AD">
        <w:rPr>
          <w:sz w:val="24"/>
          <w:szCs w:val="25"/>
        </w:rPr>
        <w:t>2.1 Population Distribution</w:t>
      </w:r>
    </w:p>
    <w:p w:rsidR="00000000" w:rsidRPr="002202AD" w:rsidRDefault="002202AD" w:rsidP="002202AD">
      <w:pPr>
        <w:numPr>
          <w:ilvl w:val="0"/>
          <w:numId w:val="8"/>
        </w:numPr>
        <w:rPr>
          <w:sz w:val="24"/>
          <w:szCs w:val="25"/>
        </w:rPr>
      </w:pPr>
      <w:r w:rsidRPr="002202AD">
        <w:rPr>
          <w:sz w:val="24"/>
          <w:szCs w:val="25"/>
        </w:rPr>
        <w:t xml:space="preserve">Physical factors (e.g., climate, landforms, </w:t>
      </w:r>
      <w:r w:rsidRPr="002202AD">
        <w:rPr>
          <w:sz w:val="24"/>
          <w:szCs w:val="25"/>
        </w:rPr>
        <w:t>bodies of water</w:t>
      </w:r>
      <w:r w:rsidRPr="002202AD">
        <w:rPr>
          <w:sz w:val="24"/>
          <w:szCs w:val="25"/>
        </w:rPr>
        <w:t>) and human factors (e.g., culture, economics, history, politics) influence the distribution of population.</w:t>
      </w:r>
    </w:p>
    <w:p w:rsidR="00000000" w:rsidRPr="002202AD" w:rsidRDefault="002202AD" w:rsidP="002202AD">
      <w:pPr>
        <w:numPr>
          <w:ilvl w:val="0"/>
          <w:numId w:val="8"/>
        </w:numPr>
        <w:rPr>
          <w:sz w:val="24"/>
          <w:szCs w:val="25"/>
        </w:rPr>
      </w:pPr>
      <w:r w:rsidRPr="002202AD">
        <w:rPr>
          <w:sz w:val="24"/>
          <w:szCs w:val="25"/>
        </w:rPr>
        <w:t xml:space="preserve">Factors that illustrate patterns of population distribution vary according to the scale of analysis. </w:t>
      </w:r>
    </w:p>
    <w:p w:rsidR="002202AD" w:rsidRPr="002202AD" w:rsidRDefault="002202AD" w:rsidP="002202AD">
      <w:pPr>
        <w:numPr>
          <w:ilvl w:val="0"/>
          <w:numId w:val="8"/>
        </w:numPr>
        <w:rPr>
          <w:sz w:val="24"/>
          <w:szCs w:val="25"/>
        </w:rPr>
      </w:pPr>
      <w:r w:rsidRPr="002202AD">
        <w:rPr>
          <w:sz w:val="24"/>
          <w:szCs w:val="25"/>
        </w:rPr>
        <w:t>The three methods for calculating population de</w:t>
      </w:r>
      <w:r w:rsidRPr="002202AD">
        <w:rPr>
          <w:sz w:val="24"/>
          <w:szCs w:val="25"/>
        </w:rPr>
        <w:t xml:space="preserve">nsity are arithmetic, physiological, and agricultural. </w:t>
      </w:r>
      <w:r w:rsidRPr="002202AD">
        <w:rPr>
          <w:sz w:val="24"/>
          <w:szCs w:val="25"/>
        </w:rPr>
        <w:tab/>
      </w:r>
    </w:p>
    <w:p w:rsidR="00625760" w:rsidRPr="002202AD" w:rsidRDefault="002202AD" w:rsidP="002202AD">
      <w:pPr>
        <w:numPr>
          <w:ilvl w:val="0"/>
          <w:numId w:val="8"/>
        </w:numPr>
        <w:rPr>
          <w:sz w:val="24"/>
          <w:szCs w:val="25"/>
        </w:rPr>
      </w:pPr>
      <w:r w:rsidRPr="002202AD">
        <w:rPr>
          <w:sz w:val="24"/>
          <w:szCs w:val="25"/>
        </w:rPr>
        <w:t>The method used to calculate population density reveals different information about the pressure the population exerts on the land.</w:t>
      </w:r>
    </w:p>
    <w:p w:rsidR="002202AD" w:rsidRPr="002202AD" w:rsidRDefault="002202AD" w:rsidP="002202AD">
      <w:pPr>
        <w:ind w:left="360"/>
        <w:rPr>
          <w:sz w:val="24"/>
          <w:szCs w:val="25"/>
        </w:rPr>
      </w:pPr>
      <w:r w:rsidRPr="002202AD">
        <w:rPr>
          <w:sz w:val="24"/>
          <w:szCs w:val="25"/>
        </w:rPr>
        <w:t>2.2 Consequences of Population Distribution</w:t>
      </w:r>
    </w:p>
    <w:p w:rsidR="00000000" w:rsidRPr="002202AD" w:rsidRDefault="002202AD" w:rsidP="002202AD">
      <w:pPr>
        <w:numPr>
          <w:ilvl w:val="0"/>
          <w:numId w:val="9"/>
        </w:numPr>
        <w:rPr>
          <w:sz w:val="24"/>
          <w:szCs w:val="25"/>
        </w:rPr>
      </w:pPr>
      <w:r w:rsidRPr="002202AD">
        <w:rPr>
          <w:sz w:val="24"/>
          <w:szCs w:val="25"/>
        </w:rPr>
        <w:t>Population distribution and density affect political, economic, and social proces</w:t>
      </w:r>
      <w:r w:rsidRPr="002202AD">
        <w:rPr>
          <w:sz w:val="24"/>
          <w:szCs w:val="25"/>
        </w:rPr>
        <w:t xml:space="preserve">ses, including the provision of services such as medical care. </w:t>
      </w:r>
    </w:p>
    <w:p w:rsidR="00000000" w:rsidRPr="002202AD" w:rsidRDefault="002202AD" w:rsidP="002202AD">
      <w:pPr>
        <w:numPr>
          <w:ilvl w:val="0"/>
          <w:numId w:val="9"/>
        </w:numPr>
        <w:rPr>
          <w:sz w:val="24"/>
          <w:szCs w:val="25"/>
        </w:rPr>
      </w:pPr>
      <w:r w:rsidRPr="002202AD">
        <w:rPr>
          <w:sz w:val="24"/>
          <w:szCs w:val="25"/>
        </w:rPr>
        <w:t xml:space="preserve">Population distribution and density affect the environment and natural resources; this is known as carrying capacity. </w:t>
      </w:r>
      <w:r w:rsidRPr="002202AD">
        <w:rPr>
          <w:sz w:val="24"/>
          <w:szCs w:val="25"/>
        </w:rPr>
        <w:tab/>
      </w:r>
    </w:p>
    <w:p w:rsidR="002202AD" w:rsidRPr="002202AD" w:rsidRDefault="002202AD" w:rsidP="002202AD">
      <w:pPr>
        <w:ind w:left="360"/>
        <w:rPr>
          <w:sz w:val="24"/>
          <w:szCs w:val="25"/>
        </w:rPr>
      </w:pPr>
      <w:r w:rsidRPr="002202AD">
        <w:rPr>
          <w:sz w:val="24"/>
          <w:szCs w:val="25"/>
        </w:rPr>
        <w:t>2.3 Population Composition</w:t>
      </w:r>
    </w:p>
    <w:p w:rsidR="002202AD" w:rsidRPr="002202AD" w:rsidRDefault="002202AD" w:rsidP="002202AD">
      <w:pPr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t>Patterns of age structure and sex ratio vary across different regions and may be mapped and analyzed at</w:t>
      </w:r>
      <w:r w:rsidRPr="002202AD">
        <w:rPr>
          <w:sz w:val="24"/>
          <w:szCs w:val="25"/>
        </w:rPr>
        <w:t xml:space="preserve"> different scales. </w:t>
      </w:r>
      <w:r w:rsidRPr="002202AD">
        <w:rPr>
          <w:sz w:val="24"/>
          <w:szCs w:val="25"/>
        </w:rPr>
        <w:tab/>
      </w:r>
    </w:p>
    <w:p w:rsidR="002202AD" w:rsidRPr="002202AD" w:rsidRDefault="002202AD" w:rsidP="002202AD">
      <w:pPr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t xml:space="preserve">Population pyramids are used to assess population growth and decline and to predict markets for goods and services. </w:t>
      </w:r>
      <w:r w:rsidRPr="002202AD">
        <w:rPr>
          <w:sz w:val="24"/>
          <w:szCs w:val="25"/>
        </w:rPr>
        <w:tab/>
      </w:r>
    </w:p>
    <w:p w:rsidR="002202AD" w:rsidRPr="002202AD" w:rsidRDefault="002202AD" w:rsidP="002202AD">
      <w:pPr>
        <w:ind w:left="360"/>
        <w:rPr>
          <w:sz w:val="24"/>
          <w:szCs w:val="25"/>
        </w:rPr>
      </w:pPr>
      <w:r w:rsidRPr="002202AD">
        <w:rPr>
          <w:sz w:val="24"/>
          <w:szCs w:val="25"/>
        </w:rPr>
        <w:t>2.4 Population Dynamics</w:t>
      </w:r>
    </w:p>
    <w:p w:rsidR="002202AD" w:rsidRPr="002202AD" w:rsidRDefault="002202AD" w:rsidP="002202AD">
      <w:pPr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lastRenderedPageBreak/>
        <w:t>Demographic factors that determine a population’s growth and decline are fertility, mortality, and migration.</w:t>
      </w:r>
    </w:p>
    <w:p w:rsidR="002202AD" w:rsidRPr="002202AD" w:rsidRDefault="002202AD" w:rsidP="002202AD">
      <w:pPr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t>Geographers use the rate of natural increase and population-doubling time to explain population growth and decline.</w:t>
      </w:r>
    </w:p>
    <w:p w:rsidR="002202AD" w:rsidRPr="002202AD" w:rsidRDefault="002202AD" w:rsidP="002202AD">
      <w:pPr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t xml:space="preserve">Social, cultural, political, and economic factors influence fertility, mortality, and migration rates. </w:t>
      </w:r>
      <w:r w:rsidRPr="002202AD">
        <w:rPr>
          <w:sz w:val="24"/>
          <w:szCs w:val="25"/>
        </w:rPr>
        <w:tab/>
      </w:r>
    </w:p>
    <w:p w:rsidR="002202AD" w:rsidRPr="002202AD" w:rsidRDefault="002202AD" w:rsidP="002202AD">
      <w:pPr>
        <w:ind w:left="360"/>
        <w:rPr>
          <w:sz w:val="24"/>
          <w:szCs w:val="25"/>
        </w:rPr>
      </w:pPr>
      <w:r w:rsidRPr="002202AD">
        <w:rPr>
          <w:sz w:val="24"/>
          <w:szCs w:val="25"/>
        </w:rPr>
        <w:t>2.5 The Demographic Transition Model</w:t>
      </w:r>
    </w:p>
    <w:p w:rsidR="002202AD" w:rsidRPr="002202AD" w:rsidRDefault="002202AD" w:rsidP="002202AD">
      <w:pPr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t>The demographic transition model can be used to explain population change over time.</w:t>
      </w:r>
    </w:p>
    <w:p w:rsidR="002202AD" w:rsidRPr="002202AD" w:rsidRDefault="002202AD" w:rsidP="002202AD">
      <w:pPr>
        <w:pStyle w:val="ListParagraph"/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t>The epidemiological transition explains causes of changing death rates.</w:t>
      </w:r>
    </w:p>
    <w:p w:rsidR="002202AD" w:rsidRPr="002202AD" w:rsidRDefault="002202AD" w:rsidP="002202AD">
      <w:pPr>
        <w:ind w:left="360"/>
        <w:rPr>
          <w:sz w:val="24"/>
          <w:szCs w:val="25"/>
        </w:rPr>
      </w:pPr>
      <w:r w:rsidRPr="002202AD">
        <w:rPr>
          <w:sz w:val="24"/>
          <w:szCs w:val="25"/>
        </w:rPr>
        <w:t>2.6 Malthusian Theory</w:t>
      </w:r>
    </w:p>
    <w:p w:rsidR="002202AD" w:rsidRPr="002202AD" w:rsidRDefault="002202AD" w:rsidP="002202AD">
      <w:pPr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t xml:space="preserve">Malthusian theory and its critiques are used to analyze population change and its consequences. </w:t>
      </w:r>
      <w:r w:rsidRPr="002202AD">
        <w:rPr>
          <w:sz w:val="24"/>
          <w:szCs w:val="25"/>
        </w:rPr>
        <w:tab/>
      </w:r>
    </w:p>
    <w:p w:rsidR="002202AD" w:rsidRPr="002202AD" w:rsidRDefault="002202AD" w:rsidP="002202AD">
      <w:pPr>
        <w:ind w:left="360"/>
        <w:rPr>
          <w:sz w:val="24"/>
          <w:szCs w:val="25"/>
        </w:rPr>
      </w:pPr>
      <w:r w:rsidRPr="002202AD">
        <w:rPr>
          <w:sz w:val="24"/>
          <w:szCs w:val="25"/>
        </w:rPr>
        <w:t>2.7 Population Policies</w:t>
      </w:r>
    </w:p>
    <w:p w:rsidR="002202AD" w:rsidRPr="002202AD" w:rsidRDefault="002202AD" w:rsidP="002202AD">
      <w:pPr>
        <w:pStyle w:val="ListParagraph"/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t>Types of population policies include those that promote or discourage population growth, such as pronatalist, antinatalist, and immigration policies.</w:t>
      </w:r>
    </w:p>
    <w:p w:rsidR="002202AD" w:rsidRPr="002202AD" w:rsidRDefault="002202AD" w:rsidP="002202AD">
      <w:pPr>
        <w:ind w:left="360"/>
        <w:rPr>
          <w:sz w:val="24"/>
          <w:szCs w:val="25"/>
        </w:rPr>
      </w:pPr>
      <w:r w:rsidRPr="002202AD">
        <w:rPr>
          <w:sz w:val="24"/>
          <w:szCs w:val="25"/>
        </w:rPr>
        <w:t>2.8 Women &amp; Demographic Change</w:t>
      </w:r>
    </w:p>
    <w:p w:rsidR="002202AD" w:rsidRPr="002202AD" w:rsidRDefault="002202AD" w:rsidP="002202AD">
      <w:pPr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t xml:space="preserve">Changing social values and access to education, employment, health care, and contraception have reduced fertility rates in most parts of the world. </w:t>
      </w:r>
    </w:p>
    <w:p w:rsidR="002202AD" w:rsidRPr="002202AD" w:rsidRDefault="002202AD" w:rsidP="002202AD">
      <w:pPr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t xml:space="preserve">Changing social, economic, and political roles for females have influenced patterns of fertility, mortality, and migration, as illustrated by Ravenstein’s laws of migration. </w:t>
      </w:r>
      <w:r w:rsidRPr="002202AD">
        <w:rPr>
          <w:sz w:val="24"/>
          <w:szCs w:val="25"/>
        </w:rPr>
        <w:tab/>
      </w:r>
    </w:p>
    <w:p w:rsidR="002202AD" w:rsidRPr="002202AD" w:rsidRDefault="002202AD" w:rsidP="002202AD">
      <w:pPr>
        <w:ind w:left="360"/>
        <w:rPr>
          <w:sz w:val="24"/>
          <w:szCs w:val="25"/>
        </w:rPr>
      </w:pPr>
      <w:r w:rsidRPr="002202AD">
        <w:rPr>
          <w:sz w:val="24"/>
          <w:szCs w:val="25"/>
        </w:rPr>
        <w:t>2.9 Aging Populations</w:t>
      </w:r>
    </w:p>
    <w:p w:rsidR="002202AD" w:rsidRPr="002202AD" w:rsidRDefault="002202AD" w:rsidP="002202AD">
      <w:pPr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t>Population aging is determined by birth and death rates and life expectancy.</w:t>
      </w:r>
    </w:p>
    <w:p w:rsidR="002202AD" w:rsidRPr="002202AD" w:rsidRDefault="002202AD" w:rsidP="002202AD">
      <w:pPr>
        <w:pStyle w:val="ListParagraph"/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t>An aging population has political, social, and economic consequences, including the dependency ratio.</w:t>
      </w:r>
    </w:p>
    <w:p w:rsidR="002202AD" w:rsidRPr="002202AD" w:rsidRDefault="002202AD" w:rsidP="002202AD">
      <w:pPr>
        <w:ind w:left="360"/>
        <w:rPr>
          <w:sz w:val="24"/>
          <w:szCs w:val="25"/>
        </w:rPr>
      </w:pPr>
      <w:r w:rsidRPr="002202AD">
        <w:rPr>
          <w:sz w:val="24"/>
          <w:szCs w:val="25"/>
        </w:rPr>
        <w:t>2.10 Causes of Migration</w:t>
      </w:r>
    </w:p>
    <w:p w:rsidR="002202AD" w:rsidRPr="002202AD" w:rsidRDefault="002202AD" w:rsidP="002202AD">
      <w:pPr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t xml:space="preserve">Migration is commonly divided into push factors and pull factors. </w:t>
      </w:r>
    </w:p>
    <w:p w:rsidR="002202AD" w:rsidRPr="002202AD" w:rsidRDefault="002202AD" w:rsidP="002202AD">
      <w:pPr>
        <w:pStyle w:val="ListParagraph"/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t>Push/pull factors and intervening opportunities/obstacles can be cultural, demographic, economic, environmental, or political.</w:t>
      </w:r>
    </w:p>
    <w:p w:rsidR="002202AD" w:rsidRPr="002202AD" w:rsidRDefault="002202AD" w:rsidP="002202AD">
      <w:pPr>
        <w:ind w:left="360"/>
        <w:rPr>
          <w:sz w:val="24"/>
          <w:szCs w:val="25"/>
        </w:rPr>
      </w:pPr>
      <w:r w:rsidRPr="002202AD">
        <w:rPr>
          <w:sz w:val="24"/>
          <w:szCs w:val="25"/>
        </w:rPr>
        <w:t>2.11 Forced &amp; Voluntary Migration</w:t>
      </w:r>
    </w:p>
    <w:p w:rsidR="002202AD" w:rsidRPr="002202AD" w:rsidRDefault="002202AD" w:rsidP="002202AD">
      <w:pPr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t xml:space="preserve">Forced migrations include slavery and events that produce refugees, internally displaced persons, and asylum seekers. </w:t>
      </w:r>
    </w:p>
    <w:p w:rsidR="002202AD" w:rsidRPr="002202AD" w:rsidRDefault="002202AD" w:rsidP="002202AD">
      <w:pPr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t xml:space="preserve">Types of voluntary migrations include transnational, transhumance, internal, chain, step, guest worker, and rural-to-urban. </w:t>
      </w:r>
      <w:r w:rsidRPr="002202AD">
        <w:rPr>
          <w:sz w:val="24"/>
          <w:szCs w:val="25"/>
        </w:rPr>
        <w:tab/>
      </w:r>
    </w:p>
    <w:p w:rsidR="002202AD" w:rsidRPr="002202AD" w:rsidRDefault="002202AD" w:rsidP="002202AD">
      <w:pPr>
        <w:ind w:left="360"/>
        <w:rPr>
          <w:sz w:val="24"/>
          <w:szCs w:val="25"/>
        </w:rPr>
      </w:pPr>
      <w:r w:rsidRPr="002202AD">
        <w:rPr>
          <w:sz w:val="24"/>
          <w:szCs w:val="25"/>
        </w:rPr>
        <w:t>2.12 Effects of Migration</w:t>
      </w:r>
    </w:p>
    <w:p w:rsidR="002202AD" w:rsidRPr="002202AD" w:rsidRDefault="002202AD" w:rsidP="002202AD">
      <w:pPr>
        <w:pStyle w:val="ListParagraph"/>
        <w:numPr>
          <w:ilvl w:val="0"/>
          <w:numId w:val="10"/>
        </w:numPr>
        <w:rPr>
          <w:sz w:val="24"/>
          <w:szCs w:val="25"/>
        </w:rPr>
      </w:pPr>
      <w:r w:rsidRPr="002202AD">
        <w:rPr>
          <w:sz w:val="24"/>
          <w:szCs w:val="25"/>
        </w:rPr>
        <w:t>Migration has political, economic, and cultural effects.</w:t>
      </w:r>
    </w:p>
    <w:sectPr w:rsidR="002202AD" w:rsidRPr="002202AD" w:rsidSect="00E70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B47"/>
    <w:multiLevelType w:val="hybridMultilevel"/>
    <w:tmpl w:val="99024DBC"/>
    <w:lvl w:ilvl="0" w:tplc="7368B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43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83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24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0D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ED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8A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4E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0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956F2"/>
    <w:multiLevelType w:val="hybridMultilevel"/>
    <w:tmpl w:val="902695AA"/>
    <w:lvl w:ilvl="0" w:tplc="0436F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E2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87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2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4D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23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45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C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085565"/>
    <w:multiLevelType w:val="hybridMultilevel"/>
    <w:tmpl w:val="99EC593C"/>
    <w:lvl w:ilvl="0" w:tplc="B2E69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C5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85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29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CD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8A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01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4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FC425F"/>
    <w:multiLevelType w:val="hybridMultilevel"/>
    <w:tmpl w:val="086ED470"/>
    <w:lvl w:ilvl="0" w:tplc="7B1A2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20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8C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2E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65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81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E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C7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20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7E1E29"/>
    <w:multiLevelType w:val="hybridMultilevel"/>
    <w:tmpl w:val="73E6BB36"/>
    <w:lvl w:ilvl="0" w:tplc="AC3AD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40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4F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0B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87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44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A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66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3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C84344"/>
    <w:multiLevelType w:val="hybridMultilevel"/>
    <w:tmpl w:val="0D58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7920"/>
    <w:multiLevelType w:val="hybridMultilevel"/>
    <w:tmpl w:val="1FEE5932"/>
    <w:lvl w:ilvl="0" w:tplc="2E584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64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6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2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E2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C4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06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4F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44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820D3D"/>
    <w:multiLevelType w:val="hybridMultilevel"/>
    <w:tmpl w:val="436871B2"/>
    <w:lvl w:ilvl="0" w:tplc="2E7EF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03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A4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66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60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6C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2B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66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E4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D17785"/>
    <w:multiLevelType w:val="hybridMultilevel"/>
    <w:tmpl w:val="15EC8734"/>
    <w:lvl w:ilvl="0" w:tplc="67E8A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68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83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2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61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2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64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0D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A9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E44302"/>
    <w:multiLevelType w:val="hybridMultilevel"/>
    <w:tmpl w:val="B68E1B74"/>
    <w:lvl w:ilvl="0" w:tplc="8DBE1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A6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8C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C3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03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2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27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87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8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36"/>
    <w:rsid w:val="00055DA1"/>
    <w:rsid w:val="000F7472"/>
    <w:rsid w:val="002202AD"/>
    <w:rsid w:val="00292220"/>
    <w:rsid w:val="003E5A5E"/>
    <w:rsid w:val="004724E6"/>
    <w:rsid w:val="00625760"/>
    <w:rsid w:val="006B0699"/>
    <w:rsid w:val="006C66A3"/>
    <w:rsid w:val="009D1F54"/>
    <w:rsid w:val="009E0E54"/>
    <w:rsid w:val="00A63E54"/>
    <w:rsid w:val="00B402C5"/>
    <w:rsid w:val="00BF2644"/>
    <w:rsid w:val="00D533C5"/>
    <w:rsid w:val="00DC4B68"/>
    <w:rsid w:val="00E02536"/>
    <w:rsid w:val="00E70336"/>
    <w:rsid w:val="00F677F8"/>
    <w:rsid w:val="00F7355F"/>
    <w:rsid w:val="00F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BD87"/>
  <w15:chartTrackingRefBased/>
  <w15:docId w15:val="{1279895F-497F-4D77-864A-E5FA8D3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80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40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81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9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6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2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0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3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6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0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6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0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7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7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3</cp:revision>
  <cp:lastPrinted>2018-08-14T13:49:00Z</cp:lastPrinted>
  <dcterms:created xsi:type="dcterms:W3CDTF">2020-09-21T17:21:00Z</dcterms:created>
  <dcterms:modified xsi:type="dcterms:W3CDTF">2020-09-21T20:39:00Z</dcterms:modified>
</cp:coreProperties>
</file>